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00" w:firstLineChars="200"/>
        <w:textAlignment w:val="center"/>
        <w:rPr>
          <w:rFonts w:hint="eastAsia" w:ascii="方正小标宋简体" w:hAnsi="华文中宋" w:eastAsia="方正小标宋简体" w:cs="华文中宋"/>
          <w:kern w:val="0"/>
          <w:sz w:val="30"/>
          <w:szCs w:val="30"/>
          <w:lang w:bidi="ar"/>
        </w:rPr>
      </w:pPr>
      <w:r>
        <w:rPr>
          <w:rFonts w:hint="eastAsia" w:ascii="黑体" w:hAnsi="黑体" w:eastAsia="黑体" w:cs="黑体"/>
          <w:kern w:val="0"/>
          <w:sz w:val="30"/>
          <w:szCs w:val="30"/>
          <w:lang w:bidi="ar"/>
        </w:rPr>
        <w:t>附件1</w:t>
      </w:r>
      <w:r>
        <w:rPr>
          <w:rFonts w:hint="eastAsia" w:ascii="方正小标宋简体" w:hAnsi="华文中宋" w:eastAsia="方正小标宋简体" w:cs="华文中宋"/>
          <w:kern w:val="0"/>
          <w:sz w:val="30"/>
          <w:szCs w:val="30"/>
          <w:lang w:bidi="ar"/>
        </w:rPr>
        <w:t xml:space="preserve">     2020年襄阳市襄州区引进事业单位急需紧缺高层次人才需求信息统计表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1380"/>
        <w:gridCol w:w="1431"/>
        <w:gridCol w:w="1352"/>
        <w:gridCol w:w="7687"/>
        <w:gridCol w:w="499"/>
        <w:gridCol w:w="10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黑体" w:hAnsi="宋体" w:eastAsia="黑体" w:cs="仿宋_GB2312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仿宋_GB2312"/>
                <w:kern w:val="0"/>
                <w:szCs w:val="21"/>
                <w:lang w:bidi="ar"/>
              </w:rPr>
              <w:t>需求专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kern w:val="0"/>
                <w:szCs w:val="21"/>
                <w:lang w:bidi="ar"/>
              </w:rPr>
              <w:t>业类别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黑体" w:hAnsi="宋体" w:eastAsia="黑体" w:cs="仿宋_GB2312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仿宋_GB2312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黑体" w:hAnsi="宋体" w:eastAsia="黑体" w:cs="仿宋_GB2312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仿宋_GB2312"/>
                <w:kern w:val="0"/>
                <w:szCs w:val="21"/>
                <w:lang w:bidi="ar"/>
              </w:rPr>
              <w:t>学位</w:t>
            </w:r>
          </w:p>
        </w:tc>
        <w:tc>
          <w:tcPr>
            <w:tcW w:w="7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kern w:val="0"/>
                <w:szCs w:val="21"/>
                <w:lang w:bidi="ar"/>
              </w:rPr>
              <w:t>涵盖专业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黑体" w:hAnsi="宋体" w:eastAsia="黑体" w:cs="仿宋_GB2312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仿宋_GB2312"/>
                <w:kern w:val="0"/>
                <w:szCs w:val="21"/>
                <w:lang w:bidi="ar"/>
              </w:rPr>
              <w:t>引进</w:t>
            </w:r>
          </w:p>
          <w:p>
            <w:pPr>
              <w:spacing w:line="320" w:lineRule="exact"/>
              <w:jc w:val="center"/>
              <w:textAlignment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黑体" w:hAnsi="宋体" w:eastAsia="黑体" w:cs="仿宋_GB2312"/>
                <w:kern w:val="0"/>
                <w:szCs w:val="21"/>
                <w:lang w:bidi="ar"/>
              </w:rPr>
            </w:pPr>
            <w:r>
              <w:rPr>
                <w:rFonts w:hint="eastAsia" w:ascii="黑体" w:hAnsi="宋体" w:eastAsia="黑体" w:cs="仿宋_GB2312"/>
                <w:kern w:val="0"/>
                <w:szCs w:val="21"/>
                <w:lang w:bidi="ar"/>
              </w:rPr>
              <w:t>其它岗位</w:t>
            </w:r>
          </w:p>
          <w:p>
            <w:pPr>
              <w:spacing w:line="320" w:lineRule="exact"/>
              <w:textAlignment w:val="center"/>
              <w:rPr>
                <w:rFonts w:hint="eastAsia" w:ascii="黑体" w:hAnsi="宋体" w:eastAsia="黑体" w:cs="仿宋_GB2312"/>
                <w:szCs w:val="21"/>
              </w:rPr>
            </w:pPr>
            <w:r>
              <w:rPr>
                <w:rFonts w:hint="eastAsia" w:ascii="黑体" w:hAnsi="宋体" w:eastAsia="黑体" w:cs="仿宋_GB2312"/>
                <w:kern w:val="0"/>
                <w:szCs w:val="21"/>
                <w:lang w:bidi="ar"/>
              </w:rPr>
              <w:t>条件要求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01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综合管理类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30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中共党员、学生干部、“三好学生”、社会学类专业同等条件下优先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02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经济金融类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1.经济学类：政治经济学，人口、资源与环境经济学，发展经济学，法律经济学，国民经济学，区域经济学，产业经济学，劳动经济学，数量经济学，经济信息管理学，资产评估，公共经济学，网络经济学，规制经济学，统计学，统计应用与经济计量分析，经济管理统计，应用数理统计，经济统计与分析，应用统计，审计，可持续发展及应用；2.财政学类：财政学、税收学、税务；3.工商管理类：企业管理，技术经济及管理，国际商务，市场营销管理，工商管理硕士专业，管理硕士专业，管理专业硕士；4.金融学类：金融学，金融工程，投资学，金融，应用金融，金融与管理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03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法学类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法学，法律，比较法学，宪法学与行政法学，中国刑法学，国际法，经济刑法学，犯罪学，民法学，刑事诉讼法学，行政诉讼法学，刑法学，民商法学，诉讼法学，经济法学，环境与资源保护法学，国际经济法，国际环境法，国际民事诉讼与仲裁，WTO法律制度，中国司法制度，比较司法制度，比较刑法学，司法制度，法律逻辑，知识产权，知识产权法学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通过全国司法考试者同等条件下优先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04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规划城建类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1.建筑类：建筑设计及其理论，城市规划与设计，建筑技术科学，建筑学，城乡规划学，风景园林学，城市规划，房地产和建筑管理；2.土木类：岩土工程、结构工程，市政工程，供热、供燃气、通风及空调工程，防灾减灾工程及防护工程，桥梁与隧道工程，建筑与土木工程，土木与环境工程，给排水工程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6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05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信息技术类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1.计算机类：计算机软件与理论，计算机应用技术，计算机科学与技术，软件工程，计算机与信息管理，计算机技术，应用软件工程；2.自动化类：控制理论与控制工程，检测技术与自动化装置，系统工程，模式识别与智能系统，导航、制导与控制，集成电路工程，控制工程；3.电气类：电机与电器，电力系统及其自动化，高电压与绝缘技术，电力电子与电力传动，电工理论与新技术，电气工程；4.电子信息类：物理电子学，电路与系统，微电子学与固体电子学，电磁场与微波技术，通信与信息系统，信号与信息处理，电子与通信工程，无线电物流，电子科学与技术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06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公共卫生与医学技术类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1.公共卫生与预防医学类：流行病与卫生统计学，劳动卫生与环境卫生学，营养与食品卫生学，儿少卫生与妇幼保健学，卫生毒理学，军事预防医学，公共卫生；2.医学技术类：医学技术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07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农业水利类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植物生产类：作物栽培学与耕作学，作物遗传育种，农业生物技术，种子科学与工程，作物学，生物防治，园艺学，果树学，蔬菜学，植物病理学，农业昆虫与害虫防治，持续发展与推广学，植物营养学，农学，土壤学，植物营养学，农药学，植物检疫，农产品安全；2.农业工程类：农业机械化工程，农业水土工程，农业生物环境与能源工程，农业电气化与自动化，农业工程；3.动物医学类：兽医学、基础兽医学、预防兽医学、临床兽医学、兽医；4.动物生产类：动物遗传育种与繁殖、动物营养与饲料科学、草业科学、特种经济动物饲养、畜牧学；5.水利类：水文学与水资源，水力学及河流动力学，水工结构工程，港口、海岸及近海工程，水利工程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08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历史学类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考古学及博物馆学，考古学，文物与博物馆，历史地理学，中国古代史，中国近现代史，文化人类学，中国史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09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检验检测类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6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1.食品工程类：食品科学，粮食、油脂及植物蛋白工程，农产品加工及贮藏工程，水产品加工及贮藏工程，食、油脂及植物蛋白工程，水产品加工及贮藏工程，食品工程；2.仪器仪表类：精密仪器及机械，测试计量技术及仪器，仪器仪表工程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5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10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能源动力与机械类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1.能源动力类：工程热物理，热能工程，动力机械及工程，流体机械及工程，制冷及低温工程，化工过程机械，动力工程，动力工程及工程热物理；2.机械类：机械制造及自动化，机械电子工程，机械设计及理论，车辆工程，机械工程，高级制造技术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11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中文、新闻及政治类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1.中国语言文学类：语言学及应用语言学，汉语言文字学，中国古代文学，中国现当代文学，文学阅读与文学教育，比较文学与世界文学，经济秘书；2.新闻传播学类：新闻学，传播学，新闻与传播，编辑出版学，媒体与文化分析专业，广告学；3.马克思主义理论类：马克思主义基本原理，马克思主义发展史，马克思主义中国化研究，马克思主义中国化，马克思主义理论与思想政治教育，思想政治教育，中国近现代史基本问题研究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3" w:hRule="atLeast"/>
        </w:trPr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12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统计财会类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硕士研究生及以上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硕士及以上</w:t>
            </w:r>
          </w:p>
        </w:tc>
        <w:tc>
          <w:tcPr>
            <w:tcW w:w="7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textAlignment w:val="center"/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1.数学统计学类：统计学，应用统计、基础数学，计算数学，概率论与数理统计，应用数学，运筹学与控制论、统计应用与经济计量分析，经济管理统计，应用数理统计，金额统计，经济统计与分析，应用统计；2.财务会计类：会计学，审计理论研究，政府审计理论与实务，内部控制与内部审计，独立审计与实务，审计学，财务管理，会计硕士专业，审计</w:t>
            </w:r>
          </w:p>
        </w:tc>
        <w:tc>
          <w:tcPr>
            <w:tcW w:w="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Cs w:val="21"/>
                <w:lang w:bidi="ar"/>
              </w:rPr>
              <w:t>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pStyle w:val="2"/>
        <w:widowControl w:val="0"/>
        <w:spacing w:line="520" w:lineRule="exact"/>
        <w:ind w:firstLine="600" w:firstLineChars="200"/>
        <w:jc w:val="both"/>
        <w:rPr>
          <w:rFonts w:hint="eastAsia" w:ascii="仿宋_GB2312" w:hAnsi="仿宋_GB2312" w:eastAsia="仿宋_GB2312" w:cs="仿宋_GB2312"/>
          <w:bCs/>
          <w:sz w:val="30"/>
          <w:szCs w:val="30"/>
        </w:rPr>
        <w:sectPr>
          <w:pgSz w:w="16838" w:h="11906" w:orient="landscape"/>
          <w:pgMar w:top="1587" w:right="1531" w:bottom="1361" w:left="1417" w:header="1247" w:footer="1247" w:gutter="0"/>
          <w:cols w:space="720" w:num="1"/>
          <w:docGrid w:type="lines" w:linePitch="287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578AB0"/>
    <w:multiLevelType w:val="singleLevel"/>
    <w:tmpl w:val="B2578A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unhideWhenUsed/>
    <w:uiPriority w:val="99"/>
    <w:rPr>
      <w:rFonts w:ascii="宋体" w:hAnsi="Courier New" w:eastAsia="宋体" w:cs="Times New Roman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2020-06-17T07:20:13Z</dcterms:created>
  <dc:creator>Administrator.XB-201801231138</dc:creator>
  <cp:lastModifiedBy>三水原</cp:lastModifiedBy>
  <dcterms:modified xsi:type="dcterms:W3CDTF">2020-06-17T07:20:23Z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