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bCs/>
          <w:kern w:val="36"/>
          <w:sz w:val="48"/>
          <w:szCs w:val="48"/>
        </w:rPr>
        <w:t>成都</w:t>
      </w:r>
      <w:r>
        <w:rPr>
          <w:rFonts w:ascii="方正小标宋_GBK" w:eastAsia="方正小标宋_GBK" w:cs="宋体" w:hint="eastAsia"/>
          <w:bCs/>
          <w:kern w:val="36"/>
          <w:sz w:val="48"/>
          <w:szCs w:val="48"/>
        </w:rPr>
        <w:t>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w:t>
      </w:r>
      <w:r>
        <w:rPr>
          <w:rFonts w:eastAsia="仿宋_GB2312"/>
          <w:sz w:val="32"/>
          <w:szCs w:val="32"/>
          <w:shd w:val="clear" w:color="auto" w:fill="FFFFFF"/>
        </w:rPr>
        <w:t>公务员录用工作</w:t>
      </w:r>
      <w:r>
        <w:rPr>
          <w:rFonts w:eastAsia="仿宋_GB2312" w:hint="eastAsia"/>
          <w:sz w:val="32"/>
          <w:szCs w:val="32"/>
          <w:shd w:val="clear" w:color="auto" w:fill="FFFFFF"/>
        </w:rPr>
        <w:t>有关规定，现就</w:t>
      </w:r>
      <w:r>
        <w:rPr>
          <w:rFonts w:eastAsia="仿宋_GB2312"/>
          <w:sz w:val="32"/>
          <w:szCs w:val="32"/>
          <w:shd w:val="clear" w:color="auto" w:fill="FFFFFF"/>
        </w:rPr>
        <w:t>20</w:t>
      </w:r>
      <w:r>
        <w:rPr>
          <w:rFonts w:eastAsia="仿宋_GB2312" w:hint="eastAsia"/>
          <w:sz w:val="32"/>
          <w:szCs w:val="32"/>
          <w:shd w:val="clear" w:color="auto" w:fill="FFFFFF"/>
        </w:rPr>
        <w:t>19年</w:t>
      </w:r>
      <w:r>
        <w:rPr>
          <w:rFonts w:eastAsia="仿宋_GB2312"/>
          <w:sz w:val="32"/>
          <w:szCs w:val="32"/>
          <w:shd w:val="clear" w:color="auto" w:fill="FFFFFF"/>
        </w:rPr>
        <w:t>成都</w:t>
      </w:r>
      <w:r>
        <w:rPr>
          <w:rFonts w:eastAsia="仿宋_GB2312" w:hint="eastAsia"/>
          <w:sz w:val="32"/>
          <w:szCs w:val="32"/>
          <w:shd w:val="clear" w:color="auto" w:fill="FFFFFF"/>
        </w:rPr>
        <w:t>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3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2"/>
        <w:gridCol w:w="1104"/>
        <w:gridCol w:w="1106"/>
        <w:gridCol w:w="2205"/>
        <w:gridCol w:w="1175"/>
        <w:gridCol w:w="788"/>
      </w:tblGrid>
      <w:tr>
        <w:trPr>
          <w:trHeight w:val="1984"/>
        </w:trPr>
        <w:tc>
          <w:tcPr>
            <w:tcW w:w="226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bookmarkStart w:id="0" w:name="RANGE!B4:F45"/>
            <w:r>
              <w:rPr>
                <w:rFonts w:ascii="方正黑体_GBK" w:eastAsia="方正黑体_GBK" w:hint="eastAsia"/>
                <w:b/>
                <w:kern w:val="0"/>
                <w:sz w:val="28"/>
                <w:szCs w:val="28"/>
              </w:rPr>
              <w:t>职位</w:t>
            </w:r>
            <w:bookmarkEnd w:id="0"/>
            <w:r>
              <w:rPr>
                <w:rFonts w:ascii="方正黑体_GBK" w:eastAsia="方正黑体_GBK" w:hint="eastAsia"/>
                <w:b/>
                <w:kern w:val="0"/>
                <w:sz w:val="28"/>
                <w:szCs w:val="28"/>
              </w:rPr>
              <w:t>名称及代码</w:t>
            </w:r>
          </w:p>
        </w:tc>
        <w:tc>
          <w:tcPr>
            <w:tcW w:w="110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0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220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17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88"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hRule="exact" w:val="424"/>
        </w:trPr>
        <w:tc>
          <w:tcPr>
            <w:tcW w:w="226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成都海关海关业务职位 （300110005001）</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400" w:lineRule="exact"/>
              <w:jc w:val="center"/>
              <w:rPr>
                <w:sz w:val="24"/>
                <w:szCs w:val="24"/>
              </w:rPr>
            </w:pPr>
            <w:r>
              <w:rPr>
                <w:sz w:val="24"/>
                <w:szCs w:val="24"/>
              </w:rPr>
              <w:t>118.3</w:t>
            </w: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韩颖</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12921111010829</w:t>
            </w:r>
          </w:p>
        </w:tc>
        <w:tc>
          <w:tcPr>
            <w:tcW w:w="117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b/>
                <w:sz w:val="24"/>
                <w:szCs w:val="24"/>
              </w:rPr>
            </w:pPr>
            <w:r>
              <w:rPr>
                <w:b/>
                <w:sz w:val="24"/>
                <w:szCs w:val="24"/>
              </w:rPr>
              <w:t>2月25日</w:t>
            </w:r>
          </w:p>
        </w:tc>
        <w:tc>
          <w:tcPr>
            <w:tcW w:w="788" w:type="dxa"/>
            <w:tcBorders>
              <w:top w:val="single" w:sz="6" w:space="0" w:color="000000"/>
              <w:left w:val="single" w:sz="6" w:space="0" w:color="000000"/>
              <w:bottom w:val="single" w:sz="4" w:space="0" w:color="auto"/>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黄慧</w:t>
            </w:r>
          </w:p>
        </w:tc>
        <w:tc>
          <w:tcPr>
            <w:tcW w:w="2205"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400" w:lineRule="exact"/>
              <w:jc w:val="center"/>
              <w:rPr>
                <w:sz w:val="24"/>
                <w:szCs w:val="24"/>
              </w:rPr>
            </w:pPr>
            <w:r>
              <w:rPr>
                <w:sz w:val="24"/>
                <w:szCs w:val="24"/>
              </w:rPr>
              <w:t>12923101010906</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4" w:space="0" w:color="auto"/>
              <w:left w:val="single" w:sz="6" w:space="0" w:color="000000"/>
              <w:bottom w:val="single" w:sz="4" w:space="0" w:color="auto"/>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羊昱名</w:t>
            </w:r>
          </w:p>
        </w:tc>
        <w:tc>
          <w:tcPr>
            <w:tcW w:w="2205" w:type="dxa"/>
            <w:tcBorders>
              <w:top w:val="single" w:sz="4" w:space="0" w:color="auto"/>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12923101083003</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4" w:space="0" w:color="auto"/>
              <w:left w:val="single" w:sz="6" w:space="0" w:color="000000"/>
              <w:bottom w:val="single" w:sz="4" w:space="0" w:color="auto"/>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蒙胧</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12925100150223</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8" w:type="dxa"/>
            <w:tcBorders>
              <w:top w:val="single" w:sz="4" w:space="0" w:color="auto"/>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成都海关监管工作职位 （300110006002）</w:t>
            </w:r>
          </w:p>
        </w:tc>
        <w:tc>
          <w:tcPr>
            <w:tcW w:w="1104"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400" w:lineRule="exact"/>
              <w:jc w:val="center"/>
              <w:rPr>
                <w:sz w:val="24"/>
                <w:szCs w:val="24"/>
              </w:rPr>
            </w:pPr>
            <w:r>
              <w:rPr>
                <w:sz w:val="24"/>
                <w:szCs w:val="24"/>
              </w:rPr>
              <w:t>122.3</w:t>
            </w: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黄雨</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12925100040407</w:t>
            </w:r>
          </w:p>
        </w:tc>
        <w:tc>
          <w:tcPr>
            <w:tcW w:w="117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b/>
                <w:sz w:val="24"/>
                <w:szCs w:val="24"/>
              </w:rPr>
              <w:t>2月25日</w:t>
            </w: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tcBorders>
              <w:top w:val="single" w:sz="6" w:space="0" w:color="000000"/>
              <w:left w:val="single" w:sz="4" w:space="0" w:color="000000"/>
              <w:bottom w:val="single" w:sz="4" w:space="0" w:color="auto"/>
              <w:right w:val="single" w:sz="6" w:space="0" w:color="000000"/>
            </w:tcBorders>
            <w:vAlign w:val="center"/>
          </w:tcPr>
          <w:p/>
        </w:tc>
        <w:tc>
          <w:tcPr>
            <w:tcW w:w="1104" w:type="dxa"/>
            <w:vMerge/>
            <w:tcBorders>
              <w:top w:val="single" w:sz="6" w:space="0" w:color="000000"/>
              <w:left w:val="single" w:sz="6" w:space="0" w:color="000000"/>
              <w:bottom w:val="single" w:sz="4" w:space="0" w:color="auto"/>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苏雪</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12925100152826</w:t>
            </w:r>
          </w:p>
        </w:tc>
        <w:tc>
          <w:tcPr>
            <w:tcW w:w="1369" w:type="dxa"/>
            <w:vMerge/>
            <w:tcBorders>
              <w:top w:val="single" w:sz="6" w:space="0" w:color="000000"/>
              <w:left w:val="single" w:sz="6" w:space="0" w:color="000000"/>
              <w:bottom w:val="single" w:sz="4" w:space="0" w:color="auto"/>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tcBorders>
              <w:top w:val="single" w:sz="6" w:space="0" w:color="000000"/>
              <w:left w:val="single" w:sz="4" w:space="0" w:color="000000"/>
              <w:bottom w:val="single" w:sz="4" w:space="0" w:color="auto"/>
              <w:right w:val="single" w:sz="6" w:space="0" w:color="000000"/>
            </w:tcBorders>
            <w:vAlign w:val="center"/>
          </w:tcPr>
          <w:p/>
        </w:tc>
        <w:tc>
          <w:tcPr>
            <w:tcW w:w="1104" w:type="dxa"/>
            <w:vMerge/>
            <w:tcBorders>
              <w:top w:val="single" w:sz="6" w:space="0" w:color="000000"/>
              <w:left w:val="single" w:sz="6" w:space="0" w:color="000000"/>
              <w:bottom w:val="single" w:sz="4" w:space="0" w:color="auto"/>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侯钦耀</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12925100173903</w:t>
            </w:r>
          </w:p>
        </w:tc>
        <w:tc>
          <w:tcPr>
            <w:tcW w:w="1369" w:type="dxa"/>
            <w:vMerge/>
            <w:tcBorders>
              <w:top w:val="single" w:sz="6" w:space="0" w:color="000000"/>
              <w:left w:val="single" w:sz="6" w:space="0" w:color="000000"/>
              <w:bottom w:val="single" w:sz="4" w:space="0" w:color="auto"/>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top w:val="single" w:sz="6" w:space="0" w:color="000000"/>
              <w:left w:val="single" w:sz="4" w:space="0" w:color="000000"/>
              <w:bottom w:val="single" w:sz="4" w:space="0" w:color="auto"/>
              <w:right w:val="single" w:sz="6" w:space="0" w:color="000000"/>
            </w:tcBorders>
            <w:vAlign w:val="center"/>
          </w:tcPr>
          <w:p/>
        </w:tc>
        <w:tc>
          <w:tcPr>
            <w:tcW w:w="1105" w:type="dxa"/>
            <w:vMerge/>
            <w:tcBorders>
              <w:top w:val="single" w:sz="6" w:space="0" w:color="000000"/>
              <w:left w:val="single" w:sz="6" w:space="0" w:color="000000"/>
              <w:bottom w:val="single" w:sz="4" w:space="0" w:color="auto"/>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张玲</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12925100183703</w:t>
            </w:r>
            <w:bookmarkStart w:id="1" w:name="_GoBack"/>
            <w:bookmarkEnd w:id="1"/>
          </w:p>
        </w:tc>
        <w:tc>
          <w:tcPr>
            <w:tcW w:w="1370" w:type="dxa"/>
            <w:vMerge/>
            <w:tcBorders>
              <w:top w:val="single" w:sz="6" w:space="0" w:color="000000"/>
              <w:left w:val="single" w:sz="6" w:space="0" w:color="000000"/>
              <w:bottom w:val="single" w:sz="4" w:space="0" w:color="auto"/>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top w:val="single" w:sz="6" w:space="0" w:color="000000"/>
              <w:left w:val="single" w:sz="4" w:space="0" w:color="000000"/>
              <w:bottom w:val="single" w:sz="4" w:space="0" w:color="auto"/>
              <w:right w:val="single" w:sz="6" w:space="0" w:color="000000"/>
            </w:tcBorders>
            <w:vAlign w:val="center"/>
          </w:tcPr>
          <w:p/>
        </w:tc>
        <w:tc>
          <w:tcPr>
            <w:tcW w:w="1105" w:type="dxa"/>
            <w:vMerge/>
            <w:tcBorders>
              <w:top w:val="single" w:sz="6" w:space="0" w:color="000000"/>
              <w:left w:val="single" w:sz="6" w:space="0" w:color="000000"/>
              <w:bottom w:val="single" w:sz="4" w:space="0" w:color="auto"/>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曾玺</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12925100195623</w:t>
            </w:r>
          </w:p>
        </w:tc>
        <w:tc>
          <w:tcPr>
            <w:tcW w:w="1370" w:type="dxa"/>
            <w:vMerge/>
            <w:tcBorders>
              <w:top w:val="single" w:sz="6" w:space="0" w:color="000000"/>
              <w:left w:val="single" w:sz="6" w:space="0" w:color="000000"/>
              <w:bottom w:val="single" w:sz="4" w:space="0" w:color="auto"/>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top w:val="single" w:sz="6" w:space="0" w:color="000000"/>
              <w:left w:val="single" w:sz="4" w:space="0" w:color="000000"/>
              <w:bottom w:val="single" w:sz="4" w:space="0" w:color="auto"/>
              <w:right w:val="single" w:sz="6" w:space="0" w:color="000000"/>
            </w:tcBorders>
            <w:vAlign w:val="center"/>
          </w:tcPr>
          <w:p/>
        </w:tc>
        <w:tc>
          <w:tcPr>
            <w:tcW w:w="1105" w:type="dxa"/>
            <w:vMerge/>
            <w:tcBorders>
              <w:top w:val="single" w:sz="6" w:space="0" w:color="000000"/>
              <w:left w:val="single" w:sz="6" w:space="0" w:color="000000"/>
              <w:bottom w:val="single" w:sz="4" w:space="0" w:color="auto"/>
              <w:right w:val="single" w:sz="6" w:space="0" w:color="000000"/>
            </w:tcBorders>
            <w:vAlign w:val="center"/>
          </w:tcPr>
          <w:p/>
        </w:tc>
        <w:tc>
          <w:tcPr>
            <w:tcW w:w="1106" w:type="dxa"/>
            <w:tcBorders>
              <w:top w:val="single" w:sz="6" w:space="0" w:color="000000"/>
              <w:left w:val="single" w:sz="6" w:space="0" w:color="000000"/>
              <w:bottom w:val="single" w:sz="4" w:space="0" w:color="auto"/>
              <w:right w:val="single" w:sz="6" w:space="0" w:color="000000"/>
            </w:tcBorders>
            <w:vAlign w:val="center"/>
          </w:tcPr>
          <w:p>
            <w:pPr>
              <w:widowControl/>
              <w:autoSpaceDN w:val="0"/>
              <w:spacing w:line="400" w:lineRule="exact"/>
              <w:jc w:val="center"/>
              <w:rPr>
                <w:sz w:val="24"/>
                <w:szCs w:val="24"/>
              </w:rPr>
            </w:pPr>
            <w:r>
              <w:rPr>
                <w:sz w:val="24"/>
                <w:szCs w:val="24"/>
              </w:rPr>
              <w:t>任琳</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12925100197020</w:t>
            </w:r>
          </w:p>
        </w:tc>
        <w:tc>
          <w:tcPr>
            <w:tcW w:w="1370" w:type="dxa"/>
            <w:vMerge/>
            <w:tcBorders>
              <w:top w:val="single" w:sz="6" w:space="0" w:color="000000"/>
              <w:left w:val="single" w:sz="6" w:space="0" w:color="000000"/>
              <w:bottom w:val="single" w:sz="4" w:space="0" w:color="auto"/>
              <w:right w:val="single" w:sz="6" w:space="0" w:color="000000"/>
            </w:tcBorders>
            <w:vAlign w:val="center"/>
          </w:tcPr>
          <w:p/>
        </w:tc>
        <w:tc>
          <w:tcPr>
            <w:tcW w:w="788" w:type="dxa"/>
            <w:tcBorders>
              <w:top w:val="single" w:sz="6" w:space="0" w:color="000000"/>
              <w:left w:val="single" w:sz="6" w:space="0" w:color="000000"/>
              <w:bottom w:val="single" w:sz="4" w:space="0" w:color="auto"/>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val="restart"/>
            <w:tcBorders>
              <w:left w:val="single" w:sz="4"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成都海关监管工作职位 （300110007001）</w:t>
            </w:r>
          </w:p>
        </w:tc>
        <w:tc>
          <w:tcPr>
            <w:tcW w:w="1104" w:type="dxa"/>
            <w:vMerge w:val="restart"/>
            <w:tcBorders>
              <w:left w:val="single" w:sz="6" w:space="0" w:color="000000"/>
              <w:bottom w:val="single" w:sz="6" w:space="0" w:color="000000"/>
              <w:right w:val="single" w:sz="6" w:space="0" w:color="000000"/>
            </w:tcBorders>
            <w:vAlign w:val="center"/>
          </w:tcPr>
          <w:p>
            <w:pPr>
              <w:autoSpaceDN w:val="0"/>
              <w:spacing w:line="400" w:lineRule="exact"/>
              <w:jc w:val="center"/>
              <w:rPr>
                <w:sz w:val="24"/>
                <w:szCs w:val="24"/>
              </w:rPr>
            </w:pPr>
            <w:r>
              <w:rPr>
                <w:sz w:val="24"/>
                <w:szCs w:val="24"/>
              </w:rPr>
              <w:t>133.7</w:t>
            </w: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程巧灵</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12923201143716</w:t>
            </w:r>
          </w:p>
        </w:tc>
        <w:tc>
          <w:tcPr>
            <w:tcW w:w="1175" w:type="dxa"/>
            <w:vMerge w:val="restart"/>
            <w:tcBorders>
              <w:left w:val="single" w:sz="6" w:space="0" w:color="000000"/>
              <w:bottom w:val="single" w:sz="6" w:space="0" w:color="000000"/>
              <w:right w:val="single" w:sz="6" w:space="0" w:color="000000"/>
            </w:tcBorders>
            <w:vAlign w:val="center"/>
          </w:tcPr>
          <w:p>
            <w:pPr>
              <w:widowControl/>
              <w:autoSpaceDN w:val="0"/>
              <w:spacing w:line="400" w:lineRule="exact"/>
              <w:jc w:val="center"/>
              <w:rPr>
                <w:b/>
                <w:sz w:val="24"/>
                <w:szCs w:val="24"/>
              </w:rPr>
            </w:pPr>
            <w:r>
              <w:rPr>
                <w:b/>
                <w:sz w:val="24"/>
                <w:szCs w:val="24"/>
              </w:rPr>
              <w:t>2月25日</w:t>
            </w: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tcBorders>
              <w:left w:val="single" w:sz="4" w:space="0" w:color="000000"/>
              <w:bottom w:val="single" w:sz="6" w:space="0" w:color="000000"/>
              <w:right w:val="single" w:sz="6" w:space="0" w:color="000000"/>
            </w:tcBorders>
            <w:vAlign w:val="center"/>
          </w:tcPr>
          <w:p/>
        </w:tc>
        <w:tc>
          <w:tcPr>
            <w:tcW w:w="1104" w:type="dxa"/>
            <w:vMerge/>
            <w:tcBorders>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白方洁</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12924201083126</w:t>
            </w:r>
          </w:p>
        </w:tc>
        <w:tc>
          <w:tcPr>
            <w:tcW w:w="1369" w:type="dxa"/>
            <w:vMerge/>
            <w:tcBorders>
              <w:left w:val="single" w:sz="6" w:space="0" w:color="000000"/>
              <w:bottom w:val="single" w:sz="6" w:space="0" w:color="000000"/>
              <w:right w:val="single" w:sz="6" w:space="0" w:color="000000"/>
            </w:tcBorders>
            <w:vAlign w:val="center"/>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王海铃</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12925100152227</w:t>
            </w:r>
          </w:p>
        </w:tc>
        <w:tc>
          <w:tcPr>
            <w:tcW w:w="1370" w:type="dxa"/>
            <w:vMerge/>
            <w:tcBorders>
              <w:left w:val="single" w:sz="6" w:space="0" w:color="000000"/>
              <w:bottom w:val="single" w:sz="6" w:space="0" w:color="000000"/>
              <w:right w:val="single" w:sz="6" w:space="0" w:color="000000"/>
            </w:tcBorders>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val="restart"/>
            <w:tcBorders>
              <w:left w:val="single" w:sz="4"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成都海关监管工作职位 （300110010001）</w:t>
            </w:r>
          </w:p>
        </w:tc>
        <w:tc>
          <w:tcPr>
            <w:tcW w:w="1104" w:type="dxa"/>
            <w:vMerge w:val="restart"/>
            <w:tcBorders>
              <w:left w:val="single" w:sz="6" w:space="0" w:color="000000"/>
              <w:bottom w:val="single" w:sz="6" w:space="0" w:color="000000"/>
              <w:right w:val="single" w:sz="6" w:space="0" w:color="000000"/>
            </w:tcBorders>
            <w:vAlign w:val="center"/>
          </w:tcPr>
          <w:p>
            <w:pPr>
              <w:autoSpaceDN w:val="0"/>
              <w:spacing w:line="400" w:lineRule="exact"/>
              <w:jc w:val="center"/>
              <w:rPr>
                <w:sz w:val="24"/>
                <w:szCs w:val="24"/>
              </w:rPr>
            </w:pPr>
            <w:r>
              <w:rPr>
                <w:sz w:val="24"/>
                <w:szCs w:val="24"/>
              </w:rPr>
              <w:t>118.4</w:t>
            </w: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张铭宇</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12925100097413</w:t>
            </w:r>
          </w:p>
        </w:tc>
        <w:tc>
          <w:tcPr>
            <w:tcW w:w="1175" w:type="dxa"/>
            <w:vMerge w:val="restart"/>
            <w:tcBorders>
              <w:left w:val="single" w:sz="6" w:space="0" w:color="000000"/>
              <w:bottom w:val="single" w:sz="6" w:space="0" w:color="000000"/>
              <w:right w:val="single" w:sz="6" w:space="0" w:color="000000"/>
            </w:tcBorders>
            <w:vAlign w:val="center"/>
          </w:tcPr>
          <w:p>
            <w:pPr>
              <w:widowControl/>
              <w:autoSpaceDN w:val="0"/>
              <w:spacing w:line="400" w:lineRule="exact"/>
              <w:jc w:val="center"/>
              <w:rPr>
                <w:b/>
                <w:sz w:val="24"/>
                <w:szCs w:val="24"/>
              </w:rPr>
            </w:pPr>
            <w:r>
              <w:rPr>
                <w:b/>
                <w:sz w:val="24"/>
                <w:szCs w:val="24"/>
              </w:rPr>
              <w:t>2月25日</w:t>
            </w: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谢金英</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12925100111501</w:t>
            </w:r>
          </w:p>
        </w:tc>
        <w:tc>
          <w:tcPr>
            <w:tcW w:w="1370" w:type="dxa"/>
            <w:vMerge/>
            <w:tcBorders>
              <w:left w:val="single" w:sz="6" w:space="0" w:color="000000"/>
              <w:bottom w:val="single" w:sz="6" w:space="0" w:color="000000"/>
              <w:right w:val="single" w:sz="6" w:space="0" w:color="000000"/>
            </w:tcBorders>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tcBorders>
              <w:left w:val="single" w:sz="4" w:space="0" w:color="000000"/>
              <w:bottom w:val="single" w:sz="6" w:space="0" w:color="000000"/>
              <w:right w:val="single" w:sz="6" w:space="0" w:color="000000"/>
            </w:tcBorders>
            <w:vAlign w:val="center"/>
          </w:tcPr>
          <w:p/>
        </w:tc>
        <w:tc>
          <w:tcPr>
            <w:tcW w:w="1104" w:type="dxa"/>
            <w:vMerge/>
            <w:tcBorders>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舒月蕾</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12925100132524</w:t>
            </w:r>
          </w:p>
        </w:tc>
        <w:tc>
          <w:tcPr>
            <w:tcW w:w="1369" w:type="dxa"/>
            <w:vMerge/>
            <w:tcBorders>
              <w:left w:val="single" w:sz="6" w:space="0" w:color="000000"/>
              <w:bottom w:val="single" w:sz="6" w:space="0" w:color="000000"/>
              <w:right w:val="single" w:sz="6" w:space="0" w:color="000000"/>
            </w:tcBorders>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2" w:type="dxa"/>
            <w:vMerge w:val="restart"/>
            <w:tcBorders>
              <w:left w:val="single" w:sz="4"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成都海关缉私工作职位 （300130008002）</w:t>
            </w:r>
          </w:p>
        </w:tc>
        <w:tc>
          <w:tcPr>
            <w:tcW w:w="1104" w:type="dxa"/>
            <w:vMerge w:val="restart"/>
            <w:tcBorders>
              <w:left w:val="single" w:sz="6" w:space="0" w:color="000000"/>
              <w:bottom w:val="single" w:sz="6" w:space="0" w:color="000000"/>
              <w:right w:val="single" w:sz="6" w:space="0" w:color="000000"/>
            </w:tcBorders>
            <w:vAlign w:val="center"/>
          </w:tcPr>
          <w:p>
            <w:pPr>
              <w:autoSpaceDN w:val="0"/>
              <w:spacing w:line="400" w:lineRule="exact"/>
              <w:jc w:val="center"/>
              <w:rPr>
                <w:sz w:val="24"/>
                <w:szCs w:val="24"/>
              </w:rPr>
            </w:pPr>
            <w:r>
              <w:rPr>
                <w:sz w:val="24"/>
                <w:szCs w:val="24"/>
              </w:rPr>
              <w:t>64.8</w:t>
            </w: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高康</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12925100032127</w:t>
            </w:r>
          </w:p>
        </w:tc>
        <w:tc>
          <w:tcPr>
            <w:tcW w:w="1175" w:type="dxa"/>
            <w:vMerge w:val="restart"/>
            <w:tcBorders>
              <w:left w:val="single" w:sz="6" w:space="0" w:color="000000"/>
              <w:bottom w:val="single" w:sz="6" w:space="0" w:color="000000"/>
              <w:right w:val="single" w:sz="6" w:space="0" w:color="000000"/>
            </w:tcBorders>
            <w:vAlign w:val="center"/>
          </w:tcPr>
          <w:p>
            <w:pPr>
              <w:widowControl/>
              <w:autoSpaceDN w:val="0"/>
              <w:spacing w:line="400" w:lineRule="exact"/>
              <w:jc w:val="center"/>
              <w:rPr>
                <w:b/>
                <w:sz w:val="24"/>
                <w:szCs w:val="24"/>
              </w:rPr>
            </w:pPr>
            <w:r>
              <w:rPr>
                <w:b/>
                <w:sz w:val="24"/>
                <w:szCs w:val="24"/>
              </w:rPr>
              <w:t>2月25日</w:t>
            </w: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left w:val="single" w:sz="4" w:space="0" w:color="000000"/>
              <w:bottom w:val="single" w:sz="6" w:space="0" w:color="000000"/>
              <w:right w:val="single" w:sz="6" w:space="0" w:color="000000"/>
            </w:tcBorders>
            <w:vAlign w:val="center"/>
          </w:tcPr>
          <w:p/>
        </w:tc>
        <w:tc>
          <w:tcPr>
            <w:tcW w:w="1104" w:type="dxa"/>
            <w:vMerge/>
            <w:tcBorders>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吴彦瑾</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12925100032824</w:t>
            </w:r>
          </w:p>
        </w:tc>
        <w:tc>
          <w:tcPr>
            <w:tcW w:w="1370" w:type="dxa"/>
            <w:vMerge/>
            <w:tcBorders>
              <w:left w:val="single" w:sz="6" w:space="0" w:color="000000"/>
              <w:bottom w:val="single" w:sz="6" w:space="0" w:color="000000"/>
              <w:right w:val="single" w:sz="6" w:space="0" w:color="000000"/>
            </w:tcBorders>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r>
        <w:trPr>
          <w:trHeight w:hRule="exact" w:val="424"/>
        </w:trPr>
        <w:tc>
          <w:tcPr>
            <w:tcW w:w="2263" w:type="dxa"/>
            <w:vMerge/>
            <w:tcBorders>
              <w:left w:val="single" w:sz="4" w:space="0" w:color="000000"/>
              <w:bottom w:val="single" w:sz="6" w:space="0" w:color="000000"/>
              <w:right w:val="single" w:sz="6" w:space="0" w:color="000000"/>
            </w:tcBorders>
            <w:vAlign w:val="center"/>
          </w:tcPr>
          <w:p/>
        </w:tc>
        <w:tc>
          <w:tcPr>
            <w:tcW w:w="1104" w:type="dxa"/>
            <w:vMerge/>
            <w:tcBorders>
              <w:left w:val="single" w:sz="6" w:space="0" w:color="000000"/>
              <w:bottom w:val="single" w:sz="6" w:space="0" w:color="000000"/>
              <w:right w:val="single" w:sz="6" w:space="0" w:color="000000"/>
            </w:tcBorders>
            <w:vAlign w:val="center"/>
          </w:tcPr>
          <w:p/>
        </w:tc>
        <w:tc>
          <w:tcPr>
            <w:tcW w:w="1106"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胡亚莉</w:t>
            </w:r>
          </w:p>
        </w:tc>
        <w:tc>
          <w:tcPr>
            <w:tcW w:w="2205"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400" w:lineRule="exact"/>
              <w:jc w:val="center"/>
              <w:rPr>
                <w:sz w:val="24"/>
                <w:szCs w:val="24"/>
              </w:rPr>
            </w:pPr>
            <w:r>
              <w:rPr>
                <w:sz w:val="24"/>
                <w:szCs w:val="24"/>
              </w:rPr>
              <w:t>12925100034816</w:t>
            </w:r>
          </w:p>
        </w:tc>
        <w:tc>
          <w:tcPr>
            <w:tcW w:w="1370" w:type="dxa"/>
            <w:vMerge/>
            <w:tcBorders>
              <w:left w:val="single" w:sz="6" w:space="0" w:color="000000"/>
              <w:bottom w:val="single" w:sz="6" w:space="0" w:color="000000"/>
              <w:right w:val="single" w:sz="6" w:space="0" w:color="000000"/>
            </w:tcBorders>
          </w:tcPr>
          <w:p/>
        </w:tc>
        <w:tc>
          <w:tcPr>
            <w:tcW w:w="788"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400" w:lineRule="exact"/>
              <w:jc w:val="center"/>
              <w:rPr>
                <w:sz w:val="24"/>
                <w:szCs w:val="24"/>
              </w:rPr>
            </w:p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以上无递补、调剂人员，同一职位考生按准考证号排列。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请进入面试的考生于2019年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日24时前确认是否参加面试，确认方式为电子邮件。要求如下：</w:t>
      </w:r>
    </w:p>
    <w:p>
      <w:pPr>
        <w:spacing w:line="594" w:lineRule="exact"/>
        <w:ind w:firstLine="584"/>
        <w:rPr>
          <w:rFonts w:ascii="方正黑体_GBK" w:eastAsia="方正黑体_GBK"/>
          <w:sz w:val="32"/>
          <w:szCs w:val="32"/>
          <w:u w:val="single"/>
          <w:highlight w:val="yellow"/>
        </w:rPr>
      </w:pPr>
      <w:r>
        <w:rPr>
          <w:rFonts w:eastAsia="仿宋_GB2312" w:hint="eastAsia"/>
          <w:sz w:val="32"/>
          <w:szCs w:val="32"/>
          <w:shd w:val="clear" w:color="auto" w:fill="FFFFFF"/>
        </w:rPr>
        <w:t>1. 发送电子邮件至</w:t>
      </w:r>
      <w:r>
        <w:rPr>
          <w:rFonts w:eastAsia="仿宋_GB2312"/>
          <w:sz w:val="32"/>
          <w:szCs w:val="32"/>
          <w:shd w:val="clear" w:color="auto" w:fill="FFFFFF"/>
        </w:rPr>
        <w:t>shidong_cd</w:t>
      </w:r>
      <w:r>
        <w:rPr>
          <w:rFonts w:eastAsia="仿宋_GB2312" w:hint="eastAsia"/>
          <w:sz w:val="32"/>
          <w:szCs w:val="32"/>
          <w:shd w:val="clear" w:color="auto" w:fill="FFFFFF"/>
        </w:rPr>
        <w:t>@</w:t>
      </w:r>
      <w:r>
        <w:rPr>
          <w:rFonts w:eastAsia="仿宋_GB2312"/>
          <w:sz w:val="32"/>
          <w:szCs w:val="32"/>
          <w:shd w:val="clear" w:color="auto" w:fill="FFFFFF"/>
        </w:rPr>
        <w:t>customs</w:t>
      </w:r>
      <w:r>
        <w:rPr>
          <w:rFonts w:eastAsia="仿宋_GB2312" w:hint="eastAsia"/>
          <w:sz w:val="32"/>
          <w:szCs w:val="32"/>
          <w:shd w:val="clear" w:color="auto" w:fill="FFFFFF"/>
        </w:rPr>
        <w:t>.gov.cn</w:t>
      </w:r>
      <w:r>
        <w:rPr>
          <w:rFonts w:eastAsia="仿宋_GB2312"/>
          <w:sz w:val="32"/>
          <w:szCs w:val="32"/>
          <w:shd w:val="clear" w:color="auto" w:fill="FFFFFF"/>
        </w:rPr>
        <w:t>，确认</w:t>
      </w:r>
      <w:r>
        <w:rPr>
          <w:rFonts w:eastAsia="仿宋_GB2312" w:hint="eastAsia"/>
          <w:sz w:val="32"/>
          <w:szCs w:val="32"/>
          <w:shd w:val="clear" w:color="auto" w:fill="FFFFFF"/>
        </w:rPr>
        <w:t>内容</w:t>
      </w:r>
      <w:r>
        <w:rPr>
          <w:rFonts w:eastAsia="仿宋_GB2312"/>
          <w:sz w:val="32"/>
          <w:szCs w:val="32"/>
          <w:shd w:val="clear" w:color="auto" w:fill="FFFFFF"/>
        </w:rPr>
        <w:t>的扫描件须作为附件发送。</w:t>
      </w:r>
    </w:p>
    <w:p>
      <w:pPr>
        <w:spacing w:line="594" w:lineRule="exact"/>
        <w:ind w:firstLine="584"/>
        <w:rPr>
          <w:rFonts w:eastAsia="仿宋_GB2312"/>
          <w:sz w:val="32"/>
          <w:szCs w:val="32"/>
          <w:shd w:val="clear" w:color="auto" w:fill="FFFFFF"/>
        </w:rPr>
      </w:pPr>
      <w:r>
        <w:rPr>
          <w:rFonts w:eastAsia="仿宋_GB2312" w:hint="eastAsia"/>
          <w:sz w:val="32"/>
          <w:szCs w:val="32"/>
          <w:shd w:val="clear" w:color="auto" w:fill="FFFFFF"/>
        </w:rPr>
        <w:t>2. 电子邮件标题统一写成“X</w:t>
      </w:r>
      <w:r>
        <w:rPr>
          <w:rFonts w:eastAsia="仿宋_GB2312"/>
          <w:sz w:val="32"/>
          <w:szCs w:val="32"/>
          <w:shd w:val="clear" w:color="auto" w:fill="FFFFFF"/>
        </w:rPr>
        <w:t>XX</w:t>
      </w:r>
      <w:r>
        <w:rPr>
          <w:rFonts w:eastAsia="仿宋_GB2312" w:hint="eastAsia"/>
          <w:sz w:val="32"/>
          <w:szCs w:val="32"/>
          <w:shd w:val="clear" w:color="auto" w:fill="FFFFFF"/>
        </w:rPr>
        <w:t>确认参加</w:t>
      </w:r>
      <w:r>
        <w:rPr>
          <w:rFonts w:eastAsia="仿宋_GB2312"/>
          <w:sz w:val="32"/>
          <w:szCs w:val="32"/>
          <w:shd w:val="clear" w:color="auto" w:fill="FFFFFF"/>
        </w:rPr>
        <w:t>成都</w:t>
      </w:r>
      <w:r>
        <w:rPr>
          <w:rFonts w:eastAsia="仿宋_GB2312" w:hint="eastAsia"/>
          <w:sz w:val="32"/>
          <w:szCs w:val="32"/>
          <w:shd w:val="clear" w:color="auto" w:fill="FFFFFF"/>
        </w:rPr>
        <w:t>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放弃面试的考生请填写《放弃公务员面试的声明》</w:t>
      </w:r>
      <w:r>
        <w:rPr>
          <w:rFonts w:eastAsia="仿宋_GB2312" w:hint="eastAsia"/>
          <w:b/>
          <w:sz w:val="32"/>
          <w:szCs w:val="32"/>
          <w:shd w:val="clear" w:color="auto" w:fill="FFFFFF"/>
        </w:rPr>
        <w:t>（详见附件2）</w:t>
      </w:r>
      <w:r>
        <w:rPr>
          <w:rFonts w:eastAsia="仿宋_GB2312" w:hint="eastAsia"/>
          <w:sz w:val="32"/>
          <w:szCs w:val="32"/>
          <w:shd w:val="clear" w:color="auto" w:fill="FFFFFF"/>
        </w:rPr>
        <w:t>，经本人签名，于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时前发送扫描件至</w:t>
      </w:r>
      <w:r>
        <w:rPr>
          <w:rFonts w:eastAsia="仿宋_GB2312"/>
          <w:sz w:val="32"/>
          <w:szCs w:val="32"/>
          <w:shd w:val="clear" w:color="auto" w:fill="FFFFFF"/>
        </w:rPr>
        <w:t>shidong_cd</w:t>
      </w:r>
      <w:r>
        <w:rPr>
          <w:rFonts w:eastAsia="仿宋_GB2312" w:hint="eastAsia"/>
          <w:sz w:val="32"/>
          <w:szCs w:val="32"/>
          <w:shd w:val="clear" w:color="auto" w:fill="FFFFFF"/>
        </w:rPr>
        <w:t>@</w:t>
      </w:r>
      <w:r>
        <w:rPr>
          <w:rFonts w:eastAsia="仿宋_GB2312"/>
          <w:sz w:val="32"/>
          <w:szCs w:val="32"/>
          <w:shd w:val="clear" w:color="auto" w:fill="FFFFFF"/>
        </w:rPr>
        <w:t>customs</w:t>
      </w:r>
      <w:r>
        <w:rPr>
          <w:rFonts w:eastAsia="仿宋_GB2312" w:hint="eastAsia"/>
          <w:sz w:val="32"/>
          <w:szCs w:val="32"/>
          <w:shd w:val="clear" w:color="auto" w:fill="FFFFFF"/>
        </w:rPr>
        <w:t>.gov.cn。</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sz w:val="32"/>
          <w:szCs w:val="32"/>
          <w:shd w:val="clear" w:color="auto" w:fill="FFFFFF"/>
        </w:rPr>
        <w:t>2019年2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日前（以寄出邮戳为准）通过邮政特快专递将以下材料寄到我单位（地址</w:t>
      </w:r>
      <w:r>
        <w:rPr>
          <w:rFonts w:eastAsia="仿宋_GB2312"/>
          <w:sz w:val="32"/>
          <w:szCs w:val="32"/>
          <w:shd w:val="clear" w:color="auto" w:fill="FFFFFF"/>
        </w:rPr>
        <w:t>：成都市天顺中街66号成都海关，</w:t>
      </w:r>
      <w:r>
        <w:rPr>
          <w:rFonts w:eastAsia="仿宋_GB2312" w:hint="eastAsia"/>
          <w:sz w:val="32"/>
          <w:szCs w:val="32"/>
          <w:shd w:val="clear" w:color="auto" w:fill="FFFFFF"/>
        </w:rPr>
        <w:t>邮编</w:t>
      </w:r>
      <w:r>
        <w:rPr>
          <w:rFonts w:eastAsia="仿宋_GB2312"/>
          <w:sz w:val="32"/>
          <w:szCs w:val="32"/>
          <w:shd w:val="clear" w:color="auto" w:fill="FFFFFF"/>
        </w:rPr>
        <w:t>：610041，收件人：成都海关人事处1015室，电话：028-85391028、028-85390372</w:t>
      </w:r>
      <w:r>
        <w:rPr>
          <w:rFonts w:eastAsia="仿宋_GB2312" w:hint="eastAsia"/>
          <w:sz w:val="32"/>
          <w:szCs w:val="32"/>
          <w:shd w:val="clear" w:color="auto" w:fill="FFFFFF"/>
        </w:rPr>
        <w:t>）接受资格复审（一般不接待本人或快递公司送达）：</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w:t>
      </w:r>
      <w:r>
        <w:rPr>
          <w:rFonts w:eastAsia="仿宋_GB2312"/>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ind w:firstLine="645"/>
        <w:rPr>
          <w:rFonts w:eastAsia="仿宋_GB2312" w:hint="eastAsia"/>
          <w:sz w:val="32"/>
          <w:szCs w:val="32"/>
          <w:shd w:val="clear" w:color="auto" w:fill="FFFFFF"/>
        </w:rPr>
      </w:pPr>
      <w:r>
        <w:rPr>
          <w:rFonts w:eastAsia="仿宋_GB2312" w:hint="eastAsia"/>
          <w:b/>
          <w:sz w:val="32"/>
          <w:szCs w:val="32"/>
          <w:shd w:val="clear" w:color="auto" w:fill="FFFFFF"/>
        </w:rPr>
        <w:t>“大学生村官”项目人员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ascii="方正黑体_GBK" w:eastAsia="方正黑体_GBK"/>
          <w:sz w:val="32"/>
          <w:szCs w:val="32"/>
          <w:u w:val="single"/>
          <w:highlight w:val="yellow"/>
        </w:rPr>
      </w:pPr>
      <w:r>
        <w:rPr>
          <w:rFonts w:eastAsia="仿宋_GB2312" w:hint="eastAsia"/>
          <w:sz w:val="32"/>
          <w:szCs w:val="32"/>
          <w:shd w:val="clear" w:color="auto" w:fill="FFFFFF"/>
        </w:rPr>
        <w:t>7.其他材料：</w:t>
      </w:r>
      <w:r>
        <w:rPr>
          <w:rFonts w:eastAsia="仿宋_GB2312"/>
          <w:sz w:val="32"/>
          <w:szCs w:val="32"/>
          <w:shd w:val="clear" w:color="auto" w:fill="FFFFFF"/>
        </w:rPr>
        <w:t>以应届毕业生身份报考的</w:t>
      </w:r>
      <w:r>
        <w:rPr>
          <w:rFonts w:eastAsia="仿宋_GB2312" w:hint="eastAsia"/>
          <w:sz w:val="32"/>
          <w:szCs w:val="32"/>
          <w:shd w:val="clear" w:color="auto" w:fill="FFFFFF"/>
        </w:rPr>
        <w:t>考生</w:t>
      </w:r>
      <w:r>
        <w:rPr>
          <w:rFonts w:eastAsia="仿宋_GB2312"/>
          <w:sz w:val="32"/>
          <w:szCs w:val="32"/>
          <w:shd w:val="clear" w:color="auto" w:fill="FFFFFF"/>
        </w:rPr>
        <w:t>需提供由学校教务部门</w:t>
      </w:r>
      <w:r>
        <w:rPr>
          <w:rFonts w:eastAsia="仿宋_GB2312" w:hint="eastAsia"/>
          <w:sz w:val="32"/>
          <w:szCs w:val="32"/>
          <w:shd w:val="clear" w:color="auto" w:fill="FFFFFF"/>
        </w:rPr>
        <w:t>盖章</w:t>
      </w:r>
      <w:r>
        <w:rPr>
          <w:rFonts w:eastAsia="仿宋_GB2312"/>
          <w:sz w:val="32"/>
          <w:szCs w:val="32"/>
          <w:shd w:val="clear" w:color="auto" w:fill="FFFFFF"/>
        </w:rPr>
        <w:t>的成绩单复印件。</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sz w:val="32"/>
          <w:szCs w:val="32"/>
        </w:rPr>
        <w:t>现场资格复审</w:t>
      </w:r>
    </w:p>
    <w:p>
      <w:pPr>
        <w:pStyle w:val="20"/>
        <w:shd w:val="clear" w:color="auto" w:fill="FFFFFF"/>
        <w:spacing w:before="0" w:beforeAutospacing="0" w:after="0" w:afterAutospacing="0" w:line="594" w:lineRule="exact"/>
        <w:ind w:firstLineChars="187" w:firstLine="598"/>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年2月24日14:00</w:t>
      </w:r>
      <w:r>
        <w:rPr>
          <w:rFonts w:eastAsia="仿宋_GB2312" w:hint="eastAsia"/>
          <w:b/>
          <w:sz w:val="32"/>
          <w:szCs w:val="32"/>
          <w:shd w:val="clear" w:color="auto" w:fill="FFFFFF"/>
        </w:rPr>
        <w:t>—</w:t>
      </w:r>
      <w:r>
        <w:rPr>
          <w:rFonts w:eastAsia="仿宋_GB2312"/>
          <w:b/>
          <w:sz w:val="32"/>
          <w:szCs w:val="32"/>
          <w:shd w:val="clear" w:color="auto" w:fill="FFFFFF"/>
        </w:rPr>
        <w:t>16:30</w:t>
      </w:r>
      <w:r>
        <w:rPr>
          <w:rFonts w:ascii="Times New Roman" w:eastAsia="仿宋_GB2312" w:cs="Times New Roman" w:hAnsi="Times New Roman"/>
          <w:kern w:val="2"/>
          <w:sz w:val="32"/>
          <w:szCs w:val="32"/>
        </w:rPr>
        <w:t>携带上述资格复审材料原件，到指定地点进行现场资格复审。现场资格复审的地点为：成都海关大楼12</w:t>
      </w:r>
      <w:r>
        <w:rPr>
          <w:rFonts w:ascii="Times New Roman" w:eastAsia="仿宋_GB2312" w:cs="Times New Roman" w:hAnsi="Times New Roman" w:hint="eastAsia"/>
          <w:kern w:val="2"/>
          <w:sz w:val="32"/>
          <w:szCs w:val="32"/>
        </w:rPr>
        <w:t>楼</w:t>
      </w:r>
      <w:r>
        <w:rPr>
          <w:rFonts w:ascii="Times New Roman" w:eastAsia="仿宋_GB2312" w:cs="Times New Roman" w:hAnsi="Times New Roman"/>
          <w:kern w:val="2"/>
          <w:sz w:val="32"/>
          <w:szCs w:val="32"/>
        </w:rPr>
        <w:t>第5会议室。</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b/>
          <w:sz w:val="32"/>
          <w:szCs w:val="32"/>
          <w:shd w:val="clear" w:color="auto" w:fill="FFFFFF"/>
        </w:rPr>
      </w:pPr>
      <w:r>
        <w:rPr>
          <w:rFonts w:ascii="仿宋_GB2312" w:eastAsia="仿宋_GB2312" w:hint="eastAsia"/>
          <w:sz w:val="32"/>
          <w:szCs w:val="32"/>
          <w:shd w:val="clear" w:color="auto" w:fill="FFFFFF"/>
        </w:rPr>
        <w:t>面试时间为</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ascii="仿宋_GB2312" w:eastAsia="仿宋_GB2312" w:hint="eastAsia"/>
          <w:sz w:val="32"/>
          <w:szCs w:val="32"/>
          <w:shd w:val="clear" w:color="auto" w:fill="FFFFFF"/>
        </w:rPr>
        <w:t>。</w:t>
      </w:r>
      <w:r>
        <w:rPr>
          <w:rFonts w:eastAsia="仿宋_GB2312" w:hint="eastAsia"/>
          <w:sz w:val="32"/>
          <w:szCs w:val="32"/>
          <w:shd w:val="clear" w:color="auto" w:fill="FFFFFF"/>
        </w:rPr>
        <w:t>面试于</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hint="eastAsia"/>
          <w:b/>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sz w:val="32"/>
          <w:szCs w:val="32"/>
          <w:shd w:val="clear" w:color="auto" w:fill="FFFFFF"/>
        </w:rPr>
        <w:t>成都</w:t>
      </w:r>
      <w:r>
        <w:rPr>
          <w:rFonts w:eastAsia="仿宋_GB2312" w:hint="eastAsia"/>
          <w:sz w:val="32"/>
          <w:szCs w:val="32"/>
          <w:shd w:val="clear" w:color="auto" w:fill="FFFFFF"/>
        </w:rPr>
        <w:t>海关</w:t>
      </w:r>
      <w:r>
        <w:rPr>
          <w:rFonts w:eastAsia="仿宋_GB2312"/>
          <w:sz w:val="32"/>
          <w:szCs w:val="32"/>
          <w:shd w:val="clear" w:color="auto" w:fill="FFFFFF"/>
        </w:rPr>
        <w:t>大楼12楼电教室</w:t>
      </w:r>
      <w:r>
        <w:rPr>
          <w:rFonts w:eastAsia="仿宋_GB2312" w:hint="eastAsia"/>
          <w:sz w:val="32"/>
          <w:szCs w:val="32"/>
          <w:shd w:val="clear" w:color="auto" w:fill="FFFFFF"/>
        </w:rPr>
        <w:t>。地址：</w:t>
      </w:r>
      <w:r>
        <w:rPr>
          <w:rFonts w:eastAsia="仿宋_GB2312"/>
          <w:sz w:val="32"/>
          <w:szCs w:val="32"/>
          <w:shd w:val="clear" w:color="auto" w:fill="FFFFFF"/>
        </w:rPr>
        <w:t>成都市天顺中街66号</w:t>
      </w:r>
      <w:r>
        <w:rPr>
          <w:rFonts w:eastAsia="仿宋_GB2312" w:hint="eastAsia"/>
          <w:sz w:val="32"/>
          <w:szCs w:val="32"/>
          <w:shd w:val="clear" w:color="auto" w:fill="FFFFFF"/>
        </w:rPr>
        <w:t>。可乘</w:t>
      </w:r>
      <w:r>
        <w:rPr>
          <w:rFonts w:eastAsia="仿宋_GB2312"/>
          <w:sz w:val="32"/>
          <w:szCs w:val="32"/>
          <w:shd w:val="clear" w:color="auto" w:fill="FFFFFF"/>
        </w:rPr>
        <w:t>成都</w:t>
      </w:r>
      <w:r>
        <w:rPr>
          <w:rFonts w:eastAsia="仿宋_GB2312" w:hint="eastAsia"/>
          <w:sz w:val="32"/>
          <w:szCs w:val="32"/>
          <w:shd w:val="clear" w:color="auto" w:fill="FFFFFF"/>
        </w:rPr>
        <w:t>地铁</w:t>
      </w:r>
      <w:r>
        <w:rPr>
          <w:rFonts w:eastAsia="仿宋_GB2312"/>
          <w:sz w:val="32"/>
          <w:szCs w:val="32"/>
          <w:shd w:val="clear" w:color="auto" w:fill="FFFFFF"/>
        </w:rPr>
        <w:t>1</w:t>
      </w:r>
      <w:r>
        <w:rPr>
          <w:rFonts w:eastAsia="仿宋_GB2312" w:hint="eastAsia"/>
          <w:sz w:val="32"/>
          <w:szCs w:val="32"/>
          <w:shd w:val="clear" w:color="auto" w:fill="FFFFFF"/>
        </w:rPr>
        <w:t>号线在</w:t>
      </w:r>
      <w:r>
        <w:rPr>
          <w:rFonts w:eastAsia="仿宋_GB2312"/>
          <w:b/>
          <w:sz w:val="32"/>
          <w:szCs w:val="32"/>
          <w:shd w:val="clear" w:color="auto" w:fill="FFFFFF"/>
        </w:rPr>
        <w:t>高新</w:t>
      </w:r>
      <w:r>
        <w:rPr>
          <w:rFonts w:eastAsia="仿宋_GB2312" w:hint="eastAsia"/>
          <w:sz w:val="32"/>
          <w:szCs w:val="32"/>
          <w:shd w:val="clear" w:color="auto" w:fill="FFFFFF"/>
        </w:rPr>
        <w:t>站下，由</w:t>
      </w:r>
      <w:r>
        <w:rPr>
          <w:rFonts w:eastAsia="仿宋_GB2312"/>
          <w:sz w:val="32"/>
          <w:szCs w:val="32"/>
          <w:shd w:val="clear" w:color="auto" w:fill="FFFFFF"/>
        </w:rPr>
        <w:t>C</w:t>
      </w:r>
      <w:r>
        <w:rPr>
          <w:rFonts w:eastAsia="仿宋_GB2312" w:hint="eastAsia"/>
          <w:sz w:val="32"/>
          <w:szCs w:val="32"/>
          <w:shd w:val="clear" w:color="auto" w:fill="FFFFFF"/>
        </w:rPr>
        <w:t>出口出站后往</w:t>
      </w:r>
      <w:r>
        <w:rPr>
          <w:rFonts w:eastAsia="仿宋_GB2312"/>
          <w:sz w:val="32"/>
          <w:szCs w:val="32"/>
          <w:shd w:val="clear" w:color="auto" w:fill="FFFFFF"/>
        </w:rPr>
        <w:t>东</w:t>
      </w:r>
      <w:r>
        <w:rPr>
          <w:rFonts w:eastAsia="仿宋_GB2312" w:hint="eastAsia"/>
          <w:sz w:val="32"/>
          <w:szCs w:val="32"/>
          <w:shd w:val="clear" w:color="auto" w:fill="FFFFFF"/>
        </w:rPr>
        <w:t>走</w:t>
      </w:r>
      <w:r>
        <w:rPr>
          <w:rFonts w:eastAsia="仿宋_GB2312"/>
          <w:sz w:val="32"/>
          <w:szCs w:val="32"/>
          <w:shd w:val="clear" w:color="auto" w:fill="FFFFFF"/>
        </w:rPr>
        <w:t>约1公里</w:t>
      </w:r>
      <w:r>
        <w:rPr>
          <w:rFonts w:eastAsia="仿宋_GB2312" w:hint="eastAsia"/>
          <w:sz w:val="32"/>
          <w:szCs w:val="32"/>
          <w:shd w:val="clear" w:color="auto" w:fill="FFFFFF"/>
        </w:rPr>
        <w:t>。</w:t>
      </w:r>
      <w:r>
        <w:rPr>
          <w:rFonts w:eastAsia="仿宋_GB2312"/>
          <w:sz w:val="32"/>
          <w:szCs w:val="32"/>
          <w:shd w:val="clear" w:color="auto" w:fill="FFFFFF"/>
        </w:rPr>
        <w:t>请考生提前合理安排时间，切勿迟到。</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highlight w:val="yellow"/>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1:1确定体检和考察人选；比例低于3:1的，考生面试成绩应达到其所在面试考官组使用同一面试题本面试的所有人员的平均分，方可按综合成绩从高到低的顺序1:1进入体检和考察。</w:t>
      </w:r>
    </w:p>
    <w:p>
      <w:pPr>
        <w:spacing w:line="594" w:lineRule="exact"/>
        <w:ind w:firstLineChars="200" w:firstLine="640"/>
        <w:rPr>
          <w:rFonts w:ascii="方正黑体_GBK" w:eastAsia="方正黑体_GBK"/>
          <w:sz w:val="32"/>
          <w:szCs w:val="32"/>
          <w:u w:val="single"/>
          <w:highlight w:val="yellow"/>
        </w:rPr>
      </w:pPr>
      <w:r>
        <w:rPr>
          <w:rFonts w:eastAsia="仿宋_GB2312" w:hint="eastAsia"/>
          <w:sz w:val="32"/>
          <w:szCs w:val="32"/>
        </w:rPr>
        <w:t>（二）体检和体能测试</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sz w:val="32"/>
          <w:szCs w:val="32"/>
        </w:rPr>
        <w:t>2019年2</w:t>
      </w:r>
      <w:r>
        <w:rPr>
          <w:rFonts w:eastAsia="仿宋_GB2312" w:hint="eastAsia"/>
          <w:sz w:val="32"/>
          <w:szCs w:val="32"/>
        </w:rPr>
        <w:t>月</w:t>
      </w:r>
      <w:r>
        <w:rPr>
          <w:rFonts w:eastAsia="仿宋_GB2312"/>
          <w:sz w:val="32"/>
          <w:szCs w:val="32"/>
        </w:rPr>
        <w:t>26</w:t>
      </w:r>
      <w:r>
        <w:rPr>
          <w:rFonts w:eastAsia="仿宋_GB2312" w:hint="eastAsia"/>
          <w:sz w:val="32"/>
          <w:szCs w:val="32"/>
        </w:rPr>
        <w:t>日进行，请参加体检的考生于当天上午</w:t>
      </w:r>
      <w:r>
        <w:rPr>
          <w:rFonts w:eastAsia="仿宋_GB2312"/>
          <w:sz w:val="32"/>
          <w:szCs w:val="32"/>
        </w:rPr>
        <w:t>7</w:t>
      </w:r>
      <w:r>
        <w:rPr>
          <w:rFonts w:eastAsia="仿宋_GB2312" w:hint="eastAsia"/>
          <w:sz w:val="32"/>
          <w:szCs w:val="32"/>
        </w:rPr>
        <w:t>点</w:t>
      </w:r>
      <w:r>
        <w:rPr>
          <w:rFonts w:eastAsia="仿宋_GB2312"/>
          <w:sz w:val="32"/>
          <w:szCs w:val="32"/>
        </w:rPr>
        <w:t>30分</w:t>
      </w:r>
      <w:r>
        <w:rPr>
          <w:rFonts w:eastAsia="仿宋_GB2312" w:hint="eastAsia"/>
          <w:sz w:val="32"/>
          <w:szCs w:val="32"/>
        </w:rPr>
        <w:t>在</w:t>
      </w:r>
      <w:r>
        <w:rPr>
          <w:rFonts w:eastAsia="仿宋_GB2312"/>
          <w:sz w:val="32"/>
          <w:szCs w:val="32"/>
        </w:rPr>
        <w:t>成都海关1楼大厅</w:t>
      </w:r>
      <w:r>
        <w:rPr>
          <w:rFonts w:eastAsia="仿宋_GB2312" w:hint="eastAsia"/>
          <w:sz w:val="32"/>
          <w:szCs w:val="32"/>
        </w:rPr>
        <w:t>集合，届时统一前往，请考生合理安排好行程，注意安全。体检费用由</w:t>
      </w:r>
      <w:r>
        <w:rPr>
          <w:rFonts w:eastAsia="仿宋_GB2312"/>
          <w:sz w:val="32"/>
          <w:szCs w:val="32"/>
        </w:rPr>
        <w:t>考生自行</w:t>
      </w:r>
      <w:r>
        <w:rPr>
          <w:rFonts w:eastAsia="仿宋_GB2312" w:hint="eastAsia"/>
          <w:sz w:val="32"/>
          <w:szCs w:val="32"/>
        </w:rPr>
        <w:t>承担。</w:t>
      </w:r>
    </w:p>
    <w:p>
      <w:pPr>
        <w:spacing w:line="594" w:lineRule="exact"/>
        <w:ind w:firstLineChars="200" w:firstLine="640"/>
        <w:rPr>
          <w:rFonts w:eastAsia="仿宋_GB2312"/>
          <w:sz w:val="32"/>
          <w:szCs w:val="32"/>
          <w:shd w:val="clear" w:color="auto" w:fill="FFFFFF"/>
        </w:rPr>
      </w:pPr>
      <w:r>
        <w:rPr>
          <w:rFonts w:eastAsia="仿宋_GB2312" w:hint="eastAsia"/>
          <w:sz w:val="32"/>
          <w:szCs w:val="32"/>
        </w:rPr>
        <w:t>报考缉私警察职位且体检合格的考生，参加体能测评。</w:t>
      </w:r>
      <w:r>
        <w:rPr>
          <w:rFonts w:eastAsia="仿宋_GB2312" w:hint="eastAsia"/>
          <w:sz w:val="32"/>
          <w:szCs w:val="32"/>
          <w:shd w:val="clear" w:color="auto" w:fill="FFFFFF"/>
        </w:rPr>
        <w:t>体能测</w:t>
      </w:r>
      <w:r>
        <w:rPr>
          <w:rFonts w:eastAsia="仿宋_GB2312"/>
          <w:sz w:val="32"/>
          <w:szCs w:val="32"/>
          <w:shd w:val="clear" w:color="auto" w:fill="FFFFFF"/>
        </w:rPr>
        <w:t>评</w:t>
      </w:r>
      <w:r>
        <w:rPr>
          <w:rFonts w:eastAsia="仿宋_GB2312" w:hint="eastAsia"/>
          <w:sz w:val="32"/>
          <w:szCs w:val="32"/>
          <w:shd w:val="clear" w:color="auto" w:fill="FFFFFF"/>
        </w:rPr>
        <w:t>时间</w:t>
      </w:r>
      <w:r>
        <w:rPr>
          <w:rFonts w:eastAsia="仿宋_GB2312"/>
          <w:sz w:val="32"/>
          <w:szCs w:val="32"/>
          <w:shd w:val="clear" w:color="auto" w:fill="FFFFFF"/>
        </w:rPr>
        <w:t>将在体检结果确定后另行通知</w:t>
      </w:r>
      <w:r>
        <w:rPr>
          <w:rFonts w:eastAsia="仿宋_GB2312" w:hint="eastAsia"/>
          <w:sz w:val="32"/>
          <w:szCs w:val="32"/>
          <w:shd w:val="clear" w:color="auto" w:fill="FFFFFF"/>
        </w:rPr>
        <w:t>。考生需携身份证，于</w:t>
      </w:r>
      <w:r>
        <w:rPr>
          <w:rFonts w:eastAsia="仿宋_GB2312"/>
          <w:sz w:val="32"/>
          <w:szCs w:val="32"/>
          <w:shd w:val="clear" w:color="auto" w:fill="FFFFFF"/>
        </w:rPr>
        <w:t>体能测评</w:t>
      </w:r>
      <w:r>
        <w:rPr>
          <w:rFonts w:eastAsia="仿宋_GB2312" w:hint="eastAsia"/>
          <w:sz w:val="32"/>
          <w:szCs w:val="32"/>
          <w:shd w:val="clear" w:color="auto" w:fill="FFFFFF"/>
        </w:rPr>
        <w:t>当日上午</w:t>
      </w:r>
      <w:r>
        <w:rPr>
          <w:rFonts w:eastAsia="仿宋_GB2312"/>
          <w:sz w:val="32"/>
          <w:szCs w:val="32"/>
          <w:shd w:val="clear" w:color="auto" w:fill="FFFFFF"/>
        </w:rPr>
        <w:t>9</w:t>
      </w:r>
      <w:r>
        <w:rPr>
          <w:rFonts w:eastAsia="仿宋_GB2312" w:hint="eastAsia"/>
          <w:sz w:val="32"/>
          <w:szCs w:val="32"/>
          <w:shd w:val="clear" w:color="auto" w:fill="FFFFFF"/>
        </w:rPr>
        <w:t>点</w:t>
      </w:r>
      <w:r>
        <w:rPr>
          <w:rFonts w:eastAsia="仿宋_GB2312"/>
          <w:sz w:val="32"/>
          <w:szCs w:val="32"/>
          <w:shd w:val="clear" w:color="auto" w:fill="FFFFFF"/>
        </w:rPr>
        <w:t>30分</w:t>
      </w:r>
      <w:r>
        <w:rPr>
          <w:rFonts w:eastAsia="仿宋_GB2312" w:hint="eastAsia"/>
          <w:sz w:val="32"/>
          <w:szCs w:val="32"/>
          <w:shd w:val="clear" w:color="auto" w:fill="FFFFFF"/>
        </w:rPr>
        <w:t>报到，报到地点为</w:t>
      </w:r>
      <w:r>
        <w:rPr>
          <w:rFonts w:eastAsia="仿宋_GB2312"/>
          <w:sz w:val="32"/>
          <w:szCs w:val="32"/>
          <w:shd w:val="clear" w:color="auto" w:fill="FFFFFF"/>
        </w:rPr>
        <w:t>成都海关1楼大厅</w:t>
      </w:r>
      <w:r>
        <w:rPr>
          <w:rFonts w:eastAsia="仿宋_GB2312" w:hint="eastAsia"/>
          <w:sz w:val="32"/>
          <w:szCs w:val="32"/>
          <w:shd w:val="clear" w:color="auto" w:fill="FFFFFF"/>
        </w:rPr>
        <w:t>。体能测评执行《关于印发公安机关录用人民警察体能测评项目和标准（暂行）的通知》有关标准。体能测评中凡一项不达标的，视为体能测评不合格。</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ind w:firstLineChars="200" w:firstLine="640"/>
        <w:rPr>
          <w:rFonts w:ascii="仿宋_GB2312" w:eastAsia="仿宋_GB2312"/>
          <w:sz w:val="32"/>
          <w:szCs w:val="32"/>
        </w:rPr>
      </w:pPr>
      <w:r>
        <w:rPr>
          <w:rFonts w:ascii="仿宋_GB2312" w:eastAsia="仿宋_GB2312" w:hint="eastAsia"/>
          <w:sz w:val="32"/>
          <w:szCs w:val="32"/>
        </w:rPr>
        <w:t>综合成绩（缉私）</w:t>
      </w:r>
      <w:r>
        <w:rPr>
          <w:rFonts w:ascii="仿宋_GB2312" w:eastAsia="仿宋_GB2312"/>
          <w:sz w:val="32"/>
          <w:szCs w:val="32"/>
        </w:rPr>
        <w:t>=</w:t>
      </w:r>
      <w:r>
        <w:rPr>
          <w:rFonts w:ascii="仿宋_GB2312" w:eastAsia="仿宋_GB2312" w:hint="eastAsia"/>
          <w:sz w:val="32"/>
          <w:szCs w:val="32"/>
        </w:rPr>
        <w:t>笔试合成分 ×</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w:t>
      </w:r>
      <w:r>
        <w:rPr>
          <w:rFonts w:ascii="仿宋_GB2312" w:eastAsia="仿宋_GB2312"/>
          <w:sz w:val="32"/>
          <w:szCs w:val="32"/>
          <w:shd w:val="clear" w:color="auto" w:fill="FFFFFF"/>
        </w:rPr>
        <w:t>成都</w:t>
      </w:r>
      <w:r>
        <w:rPr>
          <w:rFonts w:ascii="仿宋_GB2312" w:eastAsia="仿宋_GB2312" w:hint="eastAsia"/>
          <w:sz w:val="32"/>
          <w:szCs w:val="32"/>
          <w:shd w:val="clear" w:color="auto" w:fill="FFFFFF"/>
        </w:rPr>
        <w:t>海关官方网站，以免遗漏相关信息。</w:t>
      </w:r>
    </w:p>
    <w:p>
      <w:pPr>
        <w:spacing w:line="594" w:lineRule="exact"/>
        <w:ind w:firstLineChars="200" w:firstLine="640"/>
        <w:rPr>
          <w:rFonts w:eastAsia="方正仿宋简体"/>
          <w:sz w:val="32"/>
        </w:rPr>
      </w:pPr>
      <w:r>
        <w:rPr>
          <w:rFonts w:eastAsia="仿宋_GB2312" w:hint="eastAsia"/>
          <w:b/>
          <w:sz w:val="32"/>
          <w:szCs w:val="32"/>
        </w:rPr>
        <w:t>联系方式：</w:t>
      </w:r>
      <w:r>
        <w:rPr>
          <w:rFonts w:eastAsia="方正仿宋简体"/>
          <w:sz w:val="32"/>
        </w:rPr>
        <w:t>028</w:t>
      </w:r>
      <w:r>
        <w:rPr>
          <w:rFonts w:eastAsia="方正仿宋简体" w:hint="eastAsia"/>
          <w:sz w:val="32"/>
        </w:rPr>
        <w:t>-</w:t>
      </w:r>
      <w:r>
        <w:rPr>
          <w:rFonts w:eastAsia="方正仿宋简体"/>
          <w:sz w:val="32"/>
        </w:rPr>
        <w:t>85391028、028-85390372</w:t>
      </w:r>
      <w:r>
        <w:rPr>
          <w:rFonts w:eastAsia="仿宋_GB2312" w:hint="eastAsia"/>
          <w:sz w:val="32"/>
          <w:szCs w:val="32"/>
          <w:shd w:val="clear" w:color="auto" w:fill="FFFFFF"/>
        </w:rPr>
        <w:t>（电话）</w:t>
      </w:r>
    </w:p>
    <w:p>
      <w:pPr>
        <w:spacing w:line="594" w:lineRule="exact"/>
        <w:ind w:firstLineChars="200" w:firstLine="640"/>
        <w:rPr>
          <w:rFonts w:eastAsia="仿宋_GB2312"/>
          <w:sz w:val="32"/>
          <w:szCs w:val="32"/>
          <w:shd w:val="clear" w:color="auto" w:fill="FFFFFF"/>
        </w:rPr>
      </w:pPr>
      <w:r>
        <w:rPr>
          <w:rFonts w:eastAsia="方正仿宋简体"/>
          <w:sz w:val="32"/>
        </w:rPr>
        <w:t>028</w:t>
      </w:r>
      <w:r>
        <w:rPr>
          <w:rFonts w:eastAsia="方正仿宋简体" w:hint="eastAsia"/>
          <w:sz w:val="32"/>
        </w:rPr>
        <w:t>-</w:t>
      </w:r>
      <w:r>
        <w:rPr>
          <w:rFonts w:eastAsia="方正仿宋简体"/>
          <w:sz w:val="32"/>
        </w:rPr>
        <w:t>85391318</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sz w:val="32"/>
          <w:szCs w:val="32"/>
          <w:shd w:val="clear" w:color="auto" w:fill="FFFFFF"/>
        </w:rPr>
        <w:t>shidong_cd</w:t>
      </w:r>
      <w:r>
        <w:rPr>
          <w:rFonts w:eastAsia="仿宋_GB2312" w:hint="eastAsia"/>
          <w:sz w:val="32"/>
          <w:szCs w:val="32"/>
          <w:shd w:val="clear" w:color="auto" w:fill="FFFFFF"/>
        </w:rPr>
        <w:t>@</w:t>
      </w:r>
      <w:r>
        <w:rPr>
          <w:rFonts w:eastAsia="仿宋_GB2312"/>
          <w:sz w:val="32"/>
          <w:szCs w:val="32"/>
          <w:shd w:val="clear" w:color="auto" w:fill="FFFFFF"/>
        </w:rPr>
        <w:t>customs</w:t>
      </w:r>
      <w:r>
        <w:rPr>
          <w:rFonts w:eastAsia="仿宋_GB2312" w:hint="eastAsia"/>
          <w:sz w:val="32"/>
          <w:szCs w:val="32"/>
          <w:shd w:val="clear" w:color="auto" w:fill="FFFFFF"/>
        </w:rPr>
        <w:t>.gov.cn</w:t>
      </w:r>
      <w:r>
        <w:rPr>
          <w:rFonts w:eastAsia="仿宋_GB2312"/>
          <w:sz w:val="32"/>
          <w:szCs w:val="32"/>
          <w:shd w:val="clear" w:color="auto" w:fill="FFFFFF"/>
        </w:rPr>
        <w:t>（电子邮箱）</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sz w:val="32"/>
          <w:szCs w:val="32"/>
          <w:shd w:val="clear" w:color="auto" w:fill="FFFFFF"/>
          <w:highlight w:val="red"/>
        </w:rPr>
      </w:pPr>
      <w:r>
        <w:rPr>
          <w:rFonts w:eastAsia="仿宋_GB2312" w:hint="eastAsia"/>
          <w:sz w:val="32"/>
          <w:szCs w:val="32"/>
          <w:shd w:val="clear" w:color="auto" w:fill="FFFFFF"/>
        </w:rPr>
        <w:t>　　  3. 报名推荐表（样式）</w:t>
      </w:r>
    </w:p>
    <w:p>
      <w:pPr>
        <w:spacing w:line="594" w:lineRule="exact"/>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sz w:val="32"/>
          <w:szCs w:val="32"/>
          <w:shd w:val="clear" w:color="auto" w:fill="FFFFFF"/>
        </w:rPr>
        <w:t>成都</w:t>
      </w:r>
      <w:r>
        <w:rPr>
          <w:rFonts w:eastAsia="仿宋_GB2312" w:hint="eastAsia"/>
          <w:sz w:val="32"/>
          <w:szCs w:val="32"/>
          <w:shd w:val="clear" w:color="auto" w:fill="FFFFFF"/>
        </w:rPr>
        <w:t>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w:t>
      </w:r>
      <w:r>
        <w:rPr>
          <w:rFonts w:eastAsia="仿宋_GB2312" w:hint="eastAsia"/>
          <w:sz w:val="32"/>
          <w:szCs w:val="32"/>
          <w:shd w:val="clear" w:color="auto" w:fill="FFFFFF"/>
        </w:rPr>
        <w:t>日</w:t>
      </w: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附件1</w:t>
      </w: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jc w:val="center"/>
        <w:rPr>
          <w:b/>
          <w:bCs/>
          <w:spacing w:val="8"/>
          <w:sz w:val="44"/>
          <w:szCs w:val="44"/>
        </w:rPr>
      </w:pPr>
      <w:r>
        <w:rPr>
          <w:b/>
          <w:bCs/>
          <w:spacing w:val="8"/>
          <w:sz w:val="44"/>
          <w:szCs w:val="44"/>
        </w:rPr>
        <w:t>XXX</w:t>
      </w:r>
      <w:r>
        <w:rPr>
          <w:rFonts w:hint="eastAsia"/>
          <w:b/>
          <w:bCs/>
          <w:spacing w:val="8"/>
          <w:sz w:val="44"/>
          <w:szCs w:val="44"/>
        </w:rPr>
        <w:t>确认参加</w:t>
      </w:r>
      <w:r>
        <w:rPr>
          <w:b/>
          <w:bCs/>
          <w:spacing w:val="8"/>
          <w:sz w:val="44"/>
          <w:szCs w:val="44"/>
        </w:rPr>
        <w:t>成都</w:t>
      </w:r>
      <w:r>
        <w:rPr>
          <w:rFonts w:hint="eastAsia"/>
          <w:b/>
          <w:bCs/>
          <w:spacing w:val="8"/>
          <w:sz w:val="44"/>
          <w:szCs w:val="44"/>
        </w:rPr>
        <w:t>海关</w:t>
      </w:r>
      <w:r>
        <w:rPr>
          <w:b/>
          <w:bCs/>
          <w:spacing w:val="8"/>
          <w:sz w:val="44"/>
          <w:szCs w:val="44"/>
        </w:rPr>
        <w:t>XX</w:t>
      </w:r>
      <w:r>
        <w:rPr>
          <w:rFonts w:hint="eastAsia"/>
          <w:b/>
          <w:bCs/>
          <w:spacing w:val="8"/>
          <w:sz w:val="44"/>
          <w:szCs w:val="44"/>
        </w:rPr>
        <w:t>职位面试</w:t>
      </w:r>
    </w:p>
    <w:p>
      <w:pPr>
        <w:spacing w:line="594" w:lineRule="exact"/>
        <w:ind w:firstLineChars="200" w:firstLine="672"/>
        <w:rPr>
          <w:b/>
          <w:bCs/>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成都</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姓名（如果传真需手写签名）：</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附件2</w:t>
      </w:r>
    </w:p>
    <w:p>
      <w:pPr>
        <w:spacing w:line="594" w:lineRule="exact"/>
        <w:jc w:val="center"/>
        <w:rPr>
          <w:b/>
          <w:bCs/>
          <w:spacing w:val="8"/>
          <w:sz w:val="44"/>
          <w:szCs w:val="44"/>
        </w:rPr>
      </w:pPr>
    </w:p>
    <w:p>
      <w:pPr>
        <w:spacing w:line="594" w:lineRule="exact"/>
        <w:jc w:val="center"/>
        <w:rPr>
          <w:b/>
          <w:bCs/>
          <w:spacing w:val="8"/>
          <w:sz w:val="44"/>
          <w:szCs w:val="44"/>
        </w:rPr>
      </w:pPr>
      <w:r>
        <w:rPr>
          <w:rFonts w:hint="eastAsia"/>
          <w:b/>
          <w:bCs/>
          <w:spacing w:val="8"/>
          <w:sz w:val="44"/>
          <w:szCs w:val="44"/>
        </w:rPr>
        <w:t>放弃面试资格声明</w:t>
      </w:r>
    </w:p>
    <w:p>
      <w:pPr>
        <w:spacing w:line="594" w:lineRule="exact"/>
        <w:ind w:firstLineChars="200" w:firstLine="672"/>
        <w:rPr>
          <w:b/>
          <w:bCs/>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成都</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p>
    <w:p>
      <w:pPr>
        <w:widowControl/>
        <w:spacing w:line="594" w:lineRule="exact"/>
        <w:ind w:firstLineChars="160" w:firstLine="448"/>
        <w:jc w:val="center"/>
        <w:rPr>
          <w:rFonts w:eastAsia="仿宋_GB2312" w:cs="宋体"/>
          <w:kern w:val="0"/>
          <w:sz w:val="28"/>
          <w:szCs w:val="28"/>
        </w:rPr>
      </w:pP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538"/>
        <w:jc w:val="right"/>
        <w:rPr>
          <w:rFonts w:ascii="方正黑体_GBK" w:eastAsia="方正黑体_GBK"/>
          <w:bCs/>
          <w:spacing w:val="8"/>
          <w:sz w:val="32"/>
          <w:szCs w:val="32"/>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p>
        </w:tc>
      </w:tr>
    </w:tbl>
    <w:p>
      <w:pPr>
        <w:ind w:left="-540"/>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pitch w:val="variable"/>
    <w:sig w:usb0="00000001" w:usb1="080E0000" w:usb2="0000000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28">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29">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4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3">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4 10 磅"/>
    <w:pPr>
      <w:widowControl w:val="0"/>
      <w:jc w:val="both"/>
    </w:pPr>
    <w:rPr>
      <w:rFonts w:ascii="Times New Roman" w:eastAsia="宋体" w:cs="Times New Roman" w:hAnsi="Times New Roman"/>
      <w:kern w:val="2"/>
      <w:sz w:val="21"/>
      <w:lang w:val="en-US" w:eastAsia="zh-CN" w:bidi="ar-SA"/>
    </w:rPr>
  </w:style>
  <w:style w:type="paragraph" w:styleId="41">
    <w:name w:val="annotation subject"/>
    <w:basedOn w:val="15"/>
    <w:next w:val="15"/>
    <w:rPr>
      <w:b/>
      <w:bCs/>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217</TotalTime>
  <Application>Yozo_Office</Application>
  <Pages>9</Pages>
  <Words>2778</Words>
  <Characters>3406</Characters>
  <Lines>318</Lines>
  <Paragraphs>157</Paragraphs>
  <CharactersWithSpaces>3648</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8</cp:revision>
  <cp:lastPrinted>2019-01-21T06:20:00Z</cp:lastPrinted>
  <dcterms:created xsi:type="dcterms:W3CDTF">2019-01-24T08:11:00Z</dcterms:created>
  <dcterms:modified xsi:type="dcterms:W3CDTF">2019-02-02T03:50:20Z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